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2011 225 vom 16. Juni 2011</w:t>
      </w:r>
    </w:p>
    <w:p>
      <w:r>
        <w:t>BE Obergericht, 2011-06-16, DE</w:t>
      </w:r>
    </w:p>
    <w:p>
      <w:r>
        <w:rPr>
          <w:b/>
        </w:rPr>
        <w:t xml:space="preserve">Quelle: </w:t>
      </w:r>
      <w:r>
        <w:t>https://mcp.opencaselaw.ch/entscheid/be_zivilstraf_ZK 2011 225</w:t>
      </w:r>
    </w:p>
    <w:p>
      <w:r>
        <w:t>FR: BE_ZIVILSTRAF ZK 2011 225 du 16 juin 2011</w:t>
      </w:r>
    </w:p>
    <w:p>
      <w:r>
        <w:t>IT: BE_ZIVILSTRAF ZK 2011 225 del 16 giugno 2011</w:t>
      </w:r>
    </w:p>
    <w:p>
      <w:pPr>
        <w:pStyle w:val="Heading2"/>
      </w:pPr>
      <w:r>
        <w:t>Regeste</w:t>
      </w:r>
    </w:p>
    <w:p>
      <w:r>
        <w:t>Aktivlegitimation zur Stellung eines Gesuchs um Schuldneranweisung betreffend Mündigen- bzw. Unmündigenunterhalt; Anforderung an das Mass der Vernachlässigung der Unterhaltspflicht | Anweisung an Schuldner ZGB 291</w:t>
      </w:r>
    </w:p>
    <w:p>
      <w:pPr>
        <w:pStyle w:val="Heading2"/>
      </w:pPr>
      <w:r>
        <w:t>Erwägungen</w:t>
      </w:r>
    </w:p>
    <w:p>
      <w:r>
        <w:rPr>
          <w:b/>
        </w:rPr>
        <w:t>E. 1</w:t>
      </w:r>
    </w:p>
    <w:p>
      <w:r>
        <w:t>Bei Kinderbelangen in familienrechtlichen Angelegenheiten kommen die Untersuchungs- und die Offizialmaxime zur Anwendung (Art. 296 ZPO). Das Gericht erforscht somit den Sachverhalt von Amtes wegen (Abs. 1), doch trifft die Parteien eine Mitwirkungspflicht (SCHWEIGHAUSER, in: Sutter-Somm/Hasenböhler/Leuenberger, Kommentar zur Schweizerischen Zivilprozessordnung, Zürich 2010, Art. 296 ZPO N 11). Insofern kommt Art. 317 ZPO nicht zur Anwendung und sind neue Tatsachen und Beweismittel bis zum Beginn der Urteilsberatung zu berücksichtigen. Es gilt mithin ein offenes Novenrecht (REETZ/HILBER, in: Sutter-Somm/Hasenböhler/Leuenberger, Kommentar zur Schweizerischen Zivilprozessordnung, Zürich 2010, Art. 317 ZPO N 14).</w:t>
      </w:r>
    </w:p>
    <w:p>
      <w:r>
        <w:rPr>
          <w:b/>
        </w:rPr>
        <w:t>E. 2</w:t>
      </w:r>
    </w:p>
    <w:p>
      <w:r>
        <w:t>Unterhaltstitel bildet vorliegend die mit Scheidungsurteil vom (...) gerichtlich genehmigte Ehescheidungskonvention vom (...), welche in Art. 5 vorsieht, dass der Berufungskläger für die Kinder X. und Y. monatliche Unterhaltsbeiträge von je CHF 1’750.00 pro Kind zu leisten hat. Die Beiträge sind gemäss Art. 8 der Ehescheidungskonvention indexiert und jeweils auf 1. Januar proportional dem Stand des Landesindexes der Konsumentenpreise im vorangegangenen November anzupassen. Es besteht somit ein rechtskräftiger Unterhaltstitel für die Unterhaltsforderungen.</w:t>
      </w:r>
    </w:p>
    <w:p>
      <w:r>
        <w:rPr>
          <w:b/>
        </w:rPr>
        <w:t>E. 3</w:t>
      </w:r>
    </w:p>
    <w:p>
      <w:r>
        <w:t>Aufgrund der fehlenden Aktivlegitimation der Berufungsbeklagten in Bezug auf den Sohn X. sind vorliegend nur die Unterhaltsbeiträge des Sohnes Y. Gegenstand der Beurteilung. Da die Vorinstanz die Unterhaltsbeiträge beider Söhne in ihre Berechnungen einbezogen hat und in diesem Sinne für die Beurteilung der Anspruchsvoraussetzungen hinsichtlich der Schuldneranweisung die monatlichen Gesamtbeträge massgebend sind, rechtfertigt sich vorerst dennoch der vorfrageweise Einbezug der Unterhaltsbeiträge des Sohnes X.. Entgegen der Auffassung des Berufungsklägers äussert sich Artikel</w:t>
      </w:r>
    </w:p>
    <w:p>
      <w:r>
        <w:rPr>
          <w:b/>
        </w:rPr>
        <w:t>E. 5</w:t>
      </w:r>
    </w:p>
    <w:p>
      <w:r>
        <w:t>Der Untersuchungsgrundsatz betrifft die Frage, wer den Beweis zu führen hat, ändert aber nichts daran, dass Beweislosigkeit möglich bleibt und in diesem Fall nach den Regeln der Beweislast zum Nachteil einer der Parteien entschieden werden muss (vgl. BGer vom 20.07.2007, 5A_256/2007 E. 3.2). Die Beweislast für die Indexierungsvoraussetzungen – hier: die Anpassung des Erwerbseinkommens des Berufungsklägers an die Teuerung – bzw. die Folge für deren Beweislosigkeit trifft die Berufungsbeklagte, zumal sie aus dem Vorhandensein der von ihr behaupteten Indexierungsvoraussetzungen Rechte ableitet (Art. 8 ZGB). Die in der Praxis gängige Klausel, wonach sich eine Umkehr der Beweislast ergeben würde, fehlt in der Scheidungskonvention (etwa „[...], sofern nicht der Pflichtige beweist, dass sich sein Einkommen nicht entsprechend der Teuerung verändert hat.“; vgl. BGE 127 III 289, S. 294). Letztlich kann die Frage der Beweislast aber offen gelassen werden, da aus den von der Berufungsbeklagten mit dem Gesuch eingereichten Unterlagen hervorgeht, dass das Einkommen des Berufungsklägers keine Erhöhung bzw. vielmehr gar eine Verminderung erfahren hat (vgl. Gesuchsbeilagen „GB“ 9 und 10). Entsprechend sind die Voraussetzungen für die Indexierung (bzw. für eine Anpassung der Unterhaltsbeiträge überhaupt) vorliegend nicht erfüllt.</w:t>
      </w:r>
    </w:p>
    <w:p>
      <w:r>
        <w:rPr>
          <w:b/>
        </w:rPr>
        <w:t>E. 6</w:t>
      </w:r>
    </w:p>
    <w:p>
      <w:r>
        <w:t>Im Sinne der vorstehenden Ausführungen schuldet der Berufungskläger für die beiden Kinder monatlich Kinderunterhaltsbeiträge im Umfang von CHF 4'020.00 (inkl. Kinderzulagen, ohne Indexierung: 2x CHF 1'750.00 zuzüglich Kinderzulagen von CHF 290.00 und CHF 230.00). Dies ergibt einen Gesamtjahresbetrag von CHF 48'240.00. Nachgewiesen hat der Berufungskläger Zahlungen von CHF 45'970.00 für das Jahr 2010 (Berufungsbeilage „BB“ 3). Die Differenz beträgt CHF 2'270.00 für das ganze Jahr bzw. CHF 189.15 monatlich. Das Gesuch wurde am 17. Februar 2011 eingereicht. Für den Monat Januar 2011 hatte der Berufungskläger bei Gesuchseinreichung bereits CHF 3'793.00 an die Berufungsbeklagte bezahlt (derselbe Betrag folgte je im Februar und im März; vgl. BB 3). Die Schuldneranweisung setzt kein Verschulden hinsichtlich der Vernachlässigung der Unterhaltspflicht voraus. Die Vernachlässigung der Unterhaltspflicht bzw. die Pflichtvergessenheit muss indessen eine gewisse Schwere aufweisen (vgl. IVO</w:t>
      </w:r>
    </w:p>
    <w:p>
      <w:r>
        <w:t>SCHWANDER, in: Honsell/Vogt/Geiser [Hrsg.], Basler Kommentar, Zivilgesetzbuch I, Art. 1- 456 ZGB, 4. A., Basel 2010, N 10 zu Art. 177 ZGB; PETER BREITSCHMID, in: Handkommentar zum Schweizer Privatrecht, Zürich 2007, N 7 zu Art. 132 ZGB). Die Vernachlässigung muss relevant sein (BSK-BREITSCHMID, N 4 zu Art. 291 ZGB). Zwar sind im vorliegenden Fall die Minderleistungen nicht bloss vorübergehend, können aber im Verhältnis zur Gesamtverpflichtung in Bezug auf die beiden Kinder als marginal bezeichnet werden. Gestützt auf die nachstehenden Erwägungen kann aber offen gelassen werden, ob das Gesuch aufgrund des Vorstehenden ohnehin abgewiesen werden müsste, auch wenn die Berufungsbeklagte für beide Söhne (in Prozessstandschaft) aktivlegitimiert wäre, oder ob ein allfälliges selbständiges Gesuch des Sohnes X. mit der vorstehenden Begründung ebenfalls abzuweisen wäre.</w:t>
      </w:r>
    </w:p>
    <w:p>
      <w:r>
        <w:rPr>
          <w:b/>
        </w:rPr>
        <w:t>E. 7</w:t>
      </w:r>
    </w:p>
    <w:p>
      <w:r>
        <w:t>In Bezug auf den Sohn Y. anerkennt der Berufungskläger die geschuldeten Unterhaltsbeiträge im Sinne der vorstehenden Erwägungen vollumfänglich (vgl. p. 37: CHF 1'980.00 [CHF 1'750.00 zuzügl. Kinderzulage CHF 230.00]) und leistet diese auch regelmässig im geschuldeten Umfang. Bei dieser Ausgangslage ist es absehbar, dass er diese auch künftig in der rechtlich geschuldeten Höhe leisten wird. Die Minderleistung ergibt sich (nach der Begründung des Berufungsklägers) hinsichtlich der auf den Sohn X. entfallenden Unterhaltsbeiträge. Demnach rechtfertigt es sich vorliegend nicht, die Unterhaltsbeiträge des Sohnes Y. mit einer Schuldneranweisung zu sichern. d) Fazit Das Gesuch um Schuldneranweisung ist insgesamt abzuweisen. IV. (...) Hinweis: Der Entscheid ist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